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CB9B" w14:textId="2D93FEAF" w:rsidR="00ED4E6F" w:rsidRPr="00163665" w:rsidRDefault="00664632" w:rsidP="00163665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Cs w:val="24"/>
          <w:lang w:val="ro-RO"/>
        </w:rPr>
      </w:pPr>
      <w:bookmarkStart w:id="0" w:name="_GoBack"/>
      <w:bookmarkEnd w:id="0"/>
      <w:r w:rsidRPr="00163665">
        <w:rPr>
          <w:rFonts w:ascii="Times New Roman" w:hAnsi="Times New Roman" w:cs="Times New Roman"/>
          <w:b/>
          <w:bCs/>
          <w:szCs w:val="24"/>
          <w:lang w:val="ro-RO"/>
        </w:rPr>
        <w:t>PRIMĂRIA MUNICIPIULUI</w:t>
      </w:r>
      <w:r w:rsidR="00ED4E6F" w:rsidRPr="00163665">
        <w:rPr>
          <w:rFonts w:ascii="Times New Roman" w:hAnsi="Times New Roman" w:cs="Times New Roman"/>
          <w:b/>
          <w:bCs/>
          <w:szCs w:val="24"/>
          <w:lang w:val="ro-RO"/>
        </w:rPr>
        <w:t xml:space="preserve"> CÂMPULUNG MOLDOVENESC</w:t>
      </w:r>
    </w:p>
    <w:p w14:paraId="2E796AA0" w14:textId="7902B94B" w:rsidR="00664632" w:rsidRPr="00163665" w:rsidRDefault="00664632" w:rsidP="00163665">
      <w:pPr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36D401DA" w14:textId="34A00B4E" w:rsidR="004770AE" w:rsidRPr="00163665" w:rsidRDefault="00ED4E6F" w:rsidP="00163665">
      <w:pPr>
        <w:spacing w:line="276" w:lineRule="auto"/>
        <w:ind w:firstLine="0"/>
        <w:jc w:val="left"/>
        <w:rPr>
          <w:rFonts w:ascii="Times New Roman" w:hAnsi="Times New Roman" w:cs="Times New Roman"/>
          <w:b/>
          <w:szCs w:val="24"/>
          <w:lang w:val="ro-RO" w:eastAsia="en-US"/>
        </w:rPr>
      </w:pPr>
      <w:r w:rsidRPr="00163665">
        <w:rPr>
          <w:rFonts w:ascii="Times New Roman" w:hAnsi="Times New Roman" w:cs="Times New Roman"/>
          <w:b/>
          <w:szCs w:val="24"/>
          <w:lang w:val="ro-RO" w:eastAsia="en-US"/>
        </w:rPr>
        <w:t xml:space="preserve">Compartimentul </w:t>
      </w:r>
      <w:r w:rsidR="001D0DA6" w:rsidRPr="00163665">
        <w:rPr>
          <w:rFonts w:ascii="Times New Roman" w:hAnsi="Times New Roman" w:cs="Times New Roman"/>
          <w:b/>
          <w:szCs w:val="24"/>
          <w:lang w:val="ro-RO" w:eastAsia="en-US"/>
        </w:rPr>
        <w:t>investiții – Direcția tehnică și urbanism</w:t>
      </w:r>
    </w:p>
    <w:p w14:paraId="5E9A59EC" w14:textId="72E42E60" w:rsidR="00664632" w:rsidRPr="00163665" w:rsidRDefault="00664632" w:rsidP="00163665">
      <w:pPr>
        <w:spacing w:line="276" w:lineRule="auto"/>
        <w:ind w:firstLine="0"/>
        <w:jc w:val="left"/>
        <w:rPr>
          <w:rFonts w:ascii="Times New Roman" w:hAnsi="Times New Roman" w:cs="Times New Roman"/>
          <w:b/>
          <w:szCs w:val="24"/>
          <w:lang w:val="ro-RO" w:eastAsia="en-US"/>
        </w:rPr>
      </w:pPr>
      <w:proofErr w:type="spellStart"/>
      <w:r w:rsidRPr="00163665">
        <w:rPr>
          <w:rFonts w:ascii="Times New Roman" w:hAnsi="Times New Roman" w:cs="Times New Roman"/>
          <w:b/>
          <w:szCs w:val="24"/>
          <w:lang w:val="ro-RO" w:eastAsia="en-US"/>
        </w:rPr>
        <w:t>Atribuţiile</w:t>
      </w:r>
      <w:proofErr w:type="spellEnd"/>
      <w:r w:rsidRPr="00163665">
        <w:rPr>
          <w:rFonts w:ascii="Times New Roman" w:hAnsi="Times New Roman" w:cs="Times New Roman"/>
          <w:b/>
          <w:szCs w:val="24"/>
          <w:lang w:val="ro-RO" w:eastAsia="en-US"/>
        </w:rPr>
        <w:t xml:space="preserve"> postului </w:t>
      </w:r>
      <w:r w:rsidR="00ED4E6F" w:rsidRPr="00163665">
        <w:rPr>
          <w:rFonts w:ascii="Times New Roman" w:hAnsi="Times New Roman" w:cs="Times New Roman"/>
          <w:b/>
          <w:szCs w:val="24"/>
          <w:lang w:val="ro-RO" w:eastAsia="en-US"/>
        </w:rPr>
        <w:t>–</w:t>
      </w:r>
      <w:r w:rsidRPr="00163665">
        <w:rPr>
          <w:rFonts w:ascii="Times New Roman" w:hAnsi="Times New Roman" w:cs="Times New Roman"/>
          <w:b/>
          <w:szCs w:val="24"/>
          <w:lang w:val="ro-RO" w:eastAsia="en-US"/>
        </w:rPr>
        <w:t xml:space="preserve"> inspector</w:t>
      </w:r>
      <w:r w:rsidR="00ED4E6F" w:rsidRPr="00163665">
        <w:rPr>
          <w:rFonts w:ascii="Times New Roman" w:hAnsi="Times New Roman" w:cs="Times New Roman"/>
          <w:b/>
          <w:szCs w:val="24"/>
          <w:lang w:val="ro-RO" w:eastAsia="en-US"/>
        </w:rPr>
        <w:t xml:space="preserve"> </w:t>
      </w:r>
      <w:proofErr w:type="spellStart"/>
      <w:r w:rsidR="00ED4E6F" w:rsidRPr="00163665">
        <w:rPr>
          <w:rFonts w:ascii="Times New Roman" w:hAnsi="Times New Roman" w:cs="Times New Roman"/>
          <w:b/>
          <w:szCs w:val="24"/>
          <w:lang w:val="ro-RO" w:eastAsia="en-US"/>
        </w:rPr>
        <w:t>cl.I</w:t>
      </w:r>
      <w:proofErr w:type="spellEnd"/>
      <w:r w:rsidR="00ED4E6F" w:rsidRPr="00163665">
        <w:rPr>
          <w:rFonts w:ascii="Times New Roman" w:hAnsi="Times New Roman" w:cs="Times New Roman"/>
          <w:b/>
          <w:szCs w:val="24"/>
          <w:lang w:val="ro-RO" w:eastAsia="en-US"/>
        </w:rPr>
        <w:t>,</w:t>
      </w:r>
      <w:r w:rsidRPr="00163665">
        <w:rPr>
          <w:rFonts w:ascii="Times New Roman" w:hAnsi="Times New Roman" w:cs="Times New Roman"/>
          <w:b/>
          <w:szCs w:val="24"/>
          <w:lang w:val="ro-RO" w:eastAsia="en-US"/>
        </w:rPr>
        <w:t xml:space="preserve"> </w:t>
      </w:r>
      <w:r w:rsidR="00ED4E6F" w:rsidRPr="00163665">
        <w:rPr>
          <w:rFonts w:ascii="Times New Roman" w:hAnsi="Times New Roman" w:cs="Times New Roman"/>
          <w:b/>
          <w:szCs w:val="24"/>
          <w:lang w:val="ro-RO" w:eastAsia="en-US"/>
        </w:rPr>
        <w:t>grad profesional superior</w:t>
      </w:r>
    </w:p>
    <w:p w14:paraId="7C315CD7" w14:textId="77777777" w:rsidR="001D0DA6" w:rsidRPr="001D0DA6" w:rsidRDefault="001D0DA6" w:rsidP="00163665">
      <w:pPr>
        <w:spacing w:line="276" w:lineRule="auto"/>
        <w:ind w:firstLine="0"/>
        <w:rPr>
          <w:rFonts w:ascii="Times New Roman" w:hAnsi="Times New Roman" w:cs="Times New Roman"/>
          <w:b/>
          <w:bCs/>
          <w:szCs w:val="24"/>
          <w:lang w:val="ro-RO"/>
        </w:rPr>
      </w:pPr>
      <w:proofErr w:type="spellStart"/>
      <w:r w:rsidRPr="001D0DA6">
        <w:rPr>
          <w:rFonts w:ascii="Times New Roman" w:hAnsi="Times New Roman" w:cs="Times New Roman"/>
          <w:b/>
          <w:bCs/>
          <w:szCs w:val="24"/>
          <w:lang w:val="ro-RO"/>
        </w:rPr>
        <w:t>Atribuţii</w:t>
      </w:r>
      <w:proofErr w:type="spellEnd"/>
      <w:r w:rsidRPr="001D0DA6">
        <w:rPr>
          <w:rFonts w:ascii="Times New Roman" w:hAnsi="Times New Roman" w:cs="Times New Roman"/>
          <w:b/>
          <w:bCs/>
          <w:szCs w:val="24"/>
          <w:lang w:val="ro-RO"/>
        </w:rPr>
        <w:sym w:font="Symbol" w:char="F03A"/>
      </w:r>
    </w:p>
    <w:p w14:paraId="0CC3A044" w14:textId="77777777" w:rsidR="001D0DA6" w:rsidRPr="001D0DA6" w:rsidRDefault="001D0DA6" w:rsidP="00163665">
      <w:p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a) privind programul anual de 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 publice al municipiului Câmpulung Moldovenesc</w:t>
      </w:r>
      <w:r w:rsidRPr="001D0DA6">
        <w:rPr>
          <w:rFonts w:ascii="Times New Roman" w:hAnsi="Times New Roman" w:cs="Times New Roman"/>
          <w:szCs w:val="24"/>
          <w:lang w:val="ro-RO"/>
        </w:rPr>
        <w:t>:</w:t>
      </w:r>
    </w:p>
    <w:p w14:paraId="47E81A5C" w14:textId="77777777" w:rsidR="001D0DA6" w:rsidRPr="001D0DA6" w:rsidRDefault="001D0DA6" w:rsidP="00163665">
      <w:pPr>
        <w:numPr>
          <w:ilvl w:val="0"/>
          <w:numId w:val="8"/>
        </w:numPr>
        <w:tabs>
          <w:tab w:val="num" w:pos="-36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propune pe baza planurilor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preconizate, proiectul programului anual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publice al municipiului, din sfera de activitate a compartimentului, urmărind ca în program să fie cuprinse acele obiective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pentru care sunt asigurate integral surse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finanţare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prin proiectul de buget şi numai dacă în prealabil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documentaţiile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tehnico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-economice, respectiv notele de fundamentare privind necesitatea şi oportunitatea efectuării cheltuielilor asimilate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investiţiilor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au fost elaborate şi aprobate potrivit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dispoziţiilor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legale;</w:t>
      </w:r>
    </w:p>
    <w:p w14:paraId="2E48041B" w14:textId="77777777" w:rsidR="001D0DA6" w:rsidRPr="001D0DA6" w:rsidRDefault="001D0DA6" w:rsidP="00163665">
      <w:pPr>
        <w:numPr>
          <w:ilvl w:val="0"/>
          <w:numId w:val="8"/>
        </w:numPr>
        <w:tabs>
          <w:tab w:val="num" w:pos="-36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desfăşoară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programul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publice aprobat, pe an şi trimestre, urmărind ca lucrările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execuţie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să fie realizate într-o ordine firească, fără suprapuneri şi reveniri ulterioare;</w:t>
      </w:r>
    </w:p>
    <w:p w14:paraId="1BD23AA1" w14:textId="77777777" w:rsidR="001D0DA6" w:rsidRPr="001D0DA6" w:rsidRDefault="001D0DA6" w:rsidP="00163665">
      <w:pPr>
        <w:numPr>
          <w:ilvl w:val="0"/>
          <w:numId w:val="8"/>
        </w:numPr>
        <w:tabs>
          <w:tab w:val="num" w:pos="-36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operează modificări în programul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publice aprobat, ori de câte ori este cazul, în conformitate cu prevederile legale;</w:t>
      </w:r>
    </w:p>
    <w:p w14:paraId="6B1FFC84" w14:textId="77777777" w:rsidR="001D0DA6" w:rsidRPr="001D0DA6" w:rsidRDefault="001D0DA6" w:rsidP="00163665">
      <w:pPr>
        <w:numPr>
          <w:ilvl w:val="0"/>
          <w:numId w:val="8"/>
        </w:numPr>
        <w:tabs>
          <w:tab w:val="num" w:pos="-36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face propuneri privind promovarea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noi;</w:t>
      </w:r>
    </w:p>
    <w:p w14:paraId="45273F7A" w14:textId="77777777" w:rsidR="001D0DA6" w:rsidRPr="001D0DA6" w:rsidRDefault="001D0DA6" w:rsidP="00163665">
      <w:pPr>
        <w:numPr>
          <w:ilvl w:val="0"/>
          <w:numId w:val="8"/>
        </w:numPr>
        <w:tabs>
          <w:tab w:val="num" w:pos="-36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întocmeşte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pentru fiecare obiectiv inclus în programul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fişa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obiectivului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</w:p>
    <w:p w14:paraId="0DBAF7FA" w14:textId="77777777" w:rsidR="001D0DA6" w:rsidRPr="001D0DA6" w:rsidRDefault="001D0DA6" w:rsidP="00163665">
      <w:pPr>
        <w:numPr>
          <w:ilvl w:val="0"/>
          <w:numId w:val="8"/>
        </w:numPr>
        <w:tabs>
          <w:tab w:val="num" w:pos="-36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asigură elaborarea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documentaţiilor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tehnico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-economice ale obiectivelor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</w:p>
    <w:p w14:paraId="58C7DE54" w14:textId="77777777" w:rsidR="001D0DA6" w:rsidRPr="001D0DA6" w:rsidRDefault="001D0DA6" w:rsidP="00163665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propune actualizarea valorii fiecărui obiectiv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nou sau în continuare, indiferent de sursele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finanţare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ori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competenţa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de aprobare a acestora;</w:t>
      </w:r>
    </w:p>
    <w:p w14:paraId="06A91250" w14:textId="77777777" w:rsidR="001D0DA6" w:rsidRPr="001D0DA6" w:rsidRDefault="001D0DA6" w:rsidP="00163665">
      <w:pPr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stabileşte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conform documentațiilor aprobate, amplasamentele pe care urmează să se realizeze obiectivele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>.</w:t>
      </w:r>
    </w:p>
    <w:p w14:paraId="1F3039B7" w14:textId="77777777" w:rsidR="001D0DA6" w:rsidRPr="001D0DA6" w:rsidRDefault="001D0DA6" w:rsidP="00163665">
      <w:pPr>
        <w:spacing w:line="276" w:lineRule="auto"/>
        <w:rPr>
          <w:rFonts w:ascii="Times New Roman" w:hAnsi="Times New Roman" w:cs="Times New Roman"/>
          <w:b/>
          <w:szCs w:val="24"/>
          <w:lang w:val="ro-RO"/>
        </w:rPr>
      </w:pPr>
      <w:bookmarkStart w:id="1" w:name="_Hlk528497876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b) privind atribuirea şi încheierea contractelor de 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achiziţii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 publice - contracte de furnizare, contracte de servicii (proiectare), contracte de lucrări (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execuţie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/proiectare şi 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execuţie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) - pentru toate obiectivele de 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 publice ale municipiului Câmpulung Moldovenesc aprobate:</w:t>
      </w:r>
    </w:p>
    <w:p w14:paraId="1822F33B" w14:textId="77777777" w:rsidR="001D0DA6" w:rsidRPr="001D0DA6" w:rsidRDefault="001D0DA6" w:rsidP="00163665">
      <w:pPr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întocmeşte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documentaţia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necesară, constând în referat de necesitate, notă privind estimarea valorii contractului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achiziţie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publică, caiet de sarcini sau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documentaţie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descriptivă etc., în vederea organizării de către Compartimentul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licitaţii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şi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achiziţii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publice 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licitaţiilor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pentru atribuirea contractelor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achiziţii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publice, în conformitate cu prevederile legale;</w:t>
      </w:r>
    </w:p>
    <w:p w14:paraId="0FD9D86E" w14:textId="77777777" w:rsidR="001D0DA6" w:rsidRPr="001D0DA6" w:rsidRDefault="001D0DA6" w:rsidP="00163665">
      <w:pPr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participă, desemnat prin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dispoziţia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primarului, în comisiile de evaluare a ofertelor în cadrul procedurilor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achiziţii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publice;</w:t>
      </w:r>
    </w:p>
    <w:p w14:paraId="3350BE11" w14:textId="77777777" w:rsidR="001D0DA6" w:rsidRPr="001D0DA6" w:rsidRDefault="001D0DA6" w:rsidP="00163665">
      <w:pPr>
        <w:spacing w:line="276" w:lineRule="auto"/>
        <w:rPr>
          <w:rFonts w:ascii="Times New Roman" w:hAnsi="Times New Roman" w:cs="Times New Roman"/>
          <w:b/>
          <w:szCs w:val="24"/>
          <w:u w:val="single"/>
          <w:lang w:val="ro-RO"/>
        </w:rPr>
      </w:pPr>
      <w:bookmarkStart w:id="2" w:name="_Hlk528497951"/>
      <w:bookmarkEnd w:id="1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c) privind realizarea obiectivelor de 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 aprobate şi atribuite în 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condiţiile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 legii, pregătirea şi executarea lucrărilor:</w:t>
      </w:r>
    </w:p>
    <w:p w14:paraId="3B985E4E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elaborează şi depune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documentaţia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necesară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obţinerii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certificatului de urbanism (C.U.), a acordurilor şi avizelor necesare, precum şi 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autorizaţiei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de construire (A.C.) pentru obiectivele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supuse regimului de autorizare 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construcţiilor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urmărind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evoluţia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acestor acte, în vederea demarării lucrărilor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execuţie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>;</w:t>
      </w:r>
    </w:p>
    <w:p w14:paraId="5F669ECA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verifică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corespondenţa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dintre prevederile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autorizaţiei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de construire cu cele ale proiectului tehnic;</w:t>
      </w:r>
    </w:p>
    <w:p w14:paraId="7EE69E05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studiază proiectul tehnic, caietele de sarcini, tehnologiile şi procedurile prevăzute pentru realizarea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construcţiilor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respectiv: controlează respectarea prevederilor cu privire la verificarea proiectelor de către verificatori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atestaţi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potrivit Legii nr.10/1995, privind calitatea în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construcţii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; verifică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existenţa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tuturor pieselor scrise şi desenate şi corelarea acestora;  verifică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existenţa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în proiectul tehnic a prevederilor fazelor determinante şi a programului de control al proiectantului.</w:t>
      </w:r>
    </w:p>
    <w:p w14:paraId="70492292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lastRenderedPageBreak/>
        <w:t xml:space="preserve">predă constructorului amplasamentul liber de orice sarcină şi bornele de reper precizate de proiect şi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întocmeşte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procesul-verbal de predare-primire a amplasamentului;</w:t>
      </w:r>
    </w:p>
    <w:p w14:paraId="40C02583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predă constructorului terenul rezervat pentru organizarea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şantier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>;</w:t>
      </w:r>
    </w:p>
    <w:p w14:paraId="266BF0C7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participă, împreună cu proiectantul şi executantul, la trasarea generală 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construcţiei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>;</w:t>
      </w:r>
    </w:p>
    <w:p w14:paraId="1600C222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emite ordinul de începere a lucrărilor, pe care îl transmite, în conformitate cu prevederile legale, executantului lucrării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şi Inspectoratului de Stat în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Construcţii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şi, totodată,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anunţă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Compartimentul planificare urbană și autorizări şi Compartimentul disciplină în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construcţii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şi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afişaj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stradal (din cadrul Serviciului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Poliţia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Locală) cu privire la începerea lucrărilor;</w:t>
      </w:r>
    </w:p>
    <w:p w14:paraId="362462E7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verifică respectarea tehnologiilor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execuţie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în vederea asigurării nivelului calitativ prevăzut în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documentaţia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tehnică, în contract şi în normele tehnice în vigoare şi interzice utilizarea de tehnologii noi fără agrement tehnic;</w:t>
      </w:r>
    </w:p>
    <w:p w14:paraId="2CF2F583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verifică respectarea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legislaţiei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cu privire la materialele utilizate şi interzice utilizarea de materiale prefabricate necorespunzătoare sau fără certificat de calitate, fără agrement tehnic sau fără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declaraţia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de conformitate 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calităţii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>;</w:t>
      </w:r>
    </w:p>
    <w:p w14:paraId="7FC161E7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verifică respectarea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cerinţelor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stabilite de legea privind calitatea în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construcţii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în cazul adoptării de noi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soluţii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tehnice care schimbă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soluţiile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iniţiale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avizează împreună cu dirigintele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şantier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la cererea executantului şi cu aprobarea proiectantului, notele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renunţare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(NR) şi notele de comenzi suplimentare (NCS), după caz,  şi participă la elaborarea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dispoziţiilor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şantier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de modificare 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soluţiilor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tehnice din proiect;</w:t>
      </w:r>
    </w:p>
    <w:p w14:paraId="38D5C76A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participă la verificarea lucrărilor pe faze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execuţie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şi la întocmirea proceselor-verbale de lucrări ascunse şi dispune măsuri pentru asigurarea efectuării de către executant a tuturor verificărilor de calitate stabilite de normele tehnice;</w:t>
      </w:r>
    </w:p>
    <w:p w14:paraId="7C5007F1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urmăreşte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executarea lucrărilor pe tot parcursul lor,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admiţând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la plată numai lucrările executate corespunzător cantitativ şi calitativ, conform normelor şi legilor în vigoare;</w:t>
      </w:r>
    </w:p>
    <w:p w14:paraId="254DB1F9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u w:val="single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cere executantului, dacă este cazul, sistarea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execuţiei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demolarea lucrărilor executate necorespunzător, remedierea sau refacerea lor, numai în baza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soluţiilor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elaborate de proiectant sau de persoane abilitate prin lege pentru elaborarea acestora şi avizate de verificatorul de proiecte atestat;</w:t>
      </w:r>
    </w:p>
    <w:p w14:paraId="30B15607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u w:val="single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transmite proiectantului, în vederea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soluţionării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sesizările proprii, ale organelor abilitate, precum şi a altor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participanţi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la realizarea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construcţiei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privind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neconformităţile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şi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neconcordanţele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apărute pe parcursul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execuţiei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>;</w:t>
      </w:r>
    </w:p>
    <w:p w14:paraId="1E3E29B4" w14:textId="77777777" w:rsidR="001D0DA6" w:rsidRPr="001D0DA6" w:rsidRDefault="001D0DA6" w:rsidP="00163665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urmăreşte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încadrarea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execuţiei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obiectivului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în termenul prevăzut în contract şi, în final, dezafectarea lucrărilor de organizare şi, după caz,  predarea terenului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deţinătorului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legal.</w:t>
      </w:r>
    </w:p>
    <w:p w14:paraId="51D2AC17" w14:textId="77777777" w:rsidR="001D0DA6" w:rsidRPr="001D0DA6" w:rsidRDefault="001D0DA6" w:rsidP="00163665">
      <w:pPr>
        <w:spacing w:line="276" w:lineRule="auto"/>
        <w:rPr>
          <w:rFonts w:ascii="Times New Roman" w:hAnsi="Times New Roman" w:cs="Times New Roman"/>
          <w:b/>
          <w:szCs w:val="24"/>
          <w:lang w:val="ro-RO"/>
        </w:rPr>
      </w:pPr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d) privind  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recepţia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 obiectivelor de 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 realizate:</w:t>
      </w:r>
    </w:p>
    <w:p w14:paraId="1A20D60F" w14:textId="77777777" w:rsidR="001D0DA6" w:rsidRPr="001D0DA6" w:rsidRDefault="001D0DA6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verifică stadiul lucrărilor şi asigură încheierea cu executantul, în cazul în care se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doreşte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preluarea unei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părţi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din lucrare înainte de terminarea întregii lucrări prevăzute în contract,  procesul-verbal de predare-primire (care nu reprezintă un proces-verbal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recepţie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) şi consemnează viciile pe care le constată cu ocazia predării-primirii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părţii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de lucrare în cauză;</w:t>
      </w:r>
    </w:p>
    <w:p w14:paraId="78C0BFE8" w14:textId="77777777" w:rsidR="001D0DA6" w:rsidRPr="001D0DA6" w:rsidRDefault="001D0DA6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propune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componenţa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şi programul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funcţionare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al comisiilor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recepţii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pentru fiecare obiectiv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realizat, conform legii, le supune aprobării primarului şi asigură secretariatul comisiilor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recepţii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>;</w:t>
      </w:r>
    </w:p>
    <w:p w14:paraId="158F2BE8" w14:textId="77777777" w:rsidR="001D0DA6" w:rsidRPr="001D0DA6" w:rsidRDefault="001D0DA6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organizează, în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condiţiile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legii,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recepţia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la terminarea lucrărilor (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recepţia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efectuată la terminarea completă a lucrărilor unui obiect şi, după caz,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recepţia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parțială, la terminarea unei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părţi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din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construcţie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>, independentă, care poate fi utilizată separat), pe baza notificării transmise de către executant privind terminarea lucrărilor;</w:t>
      </w:r>
    </w:p>
    <w:p w14:paraId="30942A3D" w14:textId="77777777" w:rsidR="001D0DA6" w:rsidRPr="001D0DA6" w:rsidRDefault="001D0DA6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lastRenderedPageBreak/>
        <w:t xml:space="preserve">organizează, în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condiţiile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legii, 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recepţia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finală, la expirarea perioadei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garanţie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prevăzute în contract;</w:t>
      </w:r>
    </w:p>
    <w:p w14:paraId="3F254086" w14:textId="77777777" w:rsidR="001D0DA6" w:rsidRPr="001D0DA6" w:rsidRDefault="001D0DA6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exercită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atribuţiile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prevăzute de lege privind întocmirea şi păstrarea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cărţii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tehnice 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construcţiei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, pentru fiecare obiectiv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realizat, supus regimului de autorizare 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construcţiilor</w:t>
      </w:r>
      <w:proofErr w:type="spellEnd"/>
    </w:p>
    <w:p w14:paraId="132930C5" w14:textId="77777777" w:rsidR="001D0DA6" w:rsidRPr="001D0DA6" w:rsidRDefault="001D0DA6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verifică şi avizează documentele pentru eliberarea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parţială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şi, respectiv, totală 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garanţiilor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de bună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execuţie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şi le înaintează Direcției economice, în vederea efectuării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plăţii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>.</w:t>
      </w:r>
    </w:p>
    <w:p w14:paraId="2E40B21C" w14:textId="3F1868CB" w:rsidR="001D0DA6" w:rsidRPr="00163665" w:rsidRDefault="001D0DA6" w:rsidP="00163665">
      <w:pPr>
        <w:spacing w:line="276" w:lineRule="auto"/>
        <w:rPr>
          <w:rFonts w:ascii="Times New Roman" w:hAnsi="Times New Roman" w:cs="Times New Roman"/>
          <w:b/>
          <w:szCs w:val="24"/>
          <w:lang w:val="ro-RO"/>
        </w:rPr>
      </w:pPr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e) privind decontarea lucrărilor de 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investiţii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 executate:</w:t>
      </w:r>
    </w:p>
    <w:p w14:paraId="3DEA85F5" w14:textId="77777777" w:rsidR="00DB4161" w:rsidRPr="00163665" w:rsidRDefault="00DB4161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63665">
        <w:rPr>
          <w:rFonts w:ascii="Times New Roman" w:hAnsi="Times New Roman" w:cs="Times New Roman"/>
          <w:szCs w:val="24"/>
          <w:lang w:val="ro-RO"/>
        </w:rPr>
        <w:t xml:space="preserve">verifică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situaţiile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de lucrări întocmite de executant şi vizate de dirigintele de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şantier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, prin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activităţi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de verificare fizică şi valorică a lucrărilor executate şi controlează, lunar, trimestrial sau anual,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concordanţa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situaţiilor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de lucrări cu stadiile fizice ale lucrărilor executate;</w:t>
      </w:r>
    </w:p>
    <w:p w14:paraId="6921E01E" w14:textId="77777777" w:rsidR="00DB4161" w:rsidRPr="00163665" w:rsidRDefault="00DB4161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63665">
        <w:rPr>
          <w:rFonts w:ascii="Times New Roman" w:hAnsi="Times New Roman" w:cs="Times New Roman"/>
          <w:szCs w:val="24"/>
          <w:lang w:val="ro-RO"/>
        </w:rPr>
        <w:t>verifică lucrările suplimentare (NCS-urile);</w:t>
      </w:r>
    </w:p>
    <w:p w14:paraId="539FD01D" w14:textId="77777777" w:rsidR="00DB4161" w:rsidRPr="00163665" w:rsidRDefault="00DB4161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63665">
        <w:rPr>
          <w:rFonts w:ascii="Times New Roman" w:hAnsi="Times New Roman" w:cs="Times New Roman"/>
          <w:szCs w:val="24"/>
          <w:lang w:val="ro-RO"/>
        </w:rPr>
        <w:t>verifică facturile întocmite de către prestator/furnizor/executant, din punct de vedere al încadrării în devizul general (D.G.) aprobat, contractul încheiat şi bugetul anual;</w:t>
      </w:r>
    </w:p>
    <w:p w14:paraId="34FFD3FC" w14:textId="77777777" w:rsidR="00DB4161" w:rsidRPr="00163665" w:rsidRDefault="00DB4161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63665">
        <w:rPr>
          <w:rFonts w:ascii="Times New Roman" w:hAnsi="Times New Roman" w:cs="Times New Roman"/>
          <w:szCs w:val="24"/>
          <w:lang w:val="ro-RO"/>
        </w:rPr>
        <w:t xml:space="preserve">certifică în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privinţa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realităţii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,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regularităţii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şi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legalităţii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situaţiile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de lucrări şi facturile corespunzătoare şi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întocmeşte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, referatul pentru confirmarea decontării lucrărilor executate, pe care-l înaintează împreună cu întreaga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documentaţie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necesară Direcției economice, în vederea efectuării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plăţii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>;</w:t>
      </w:r>
    </w:p>
    <w:p w14:paraId="55743027" w14:textId="77777777" w:rsidR="00DB4161" w:rsidRPr="00163665" w:rsidRDefault="00DB4161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63665">
        <w:rPr>
          <w:rFonts w:ascii="Times New Roman" w:hAnsi="Times New Roman" w:cs="Times New Roman"/>
          <w:szCs w:val="24"/>
          <w:lang w:val="ro-RO"/>
        </w:rPr>
        <w:t xml:space="preserve">propune măsuri de regularizare financiară, oprirea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plăţilor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,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reţineri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sau, după caz,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penalităţi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de întârziere, daune etc., în cazul în care se constată abateri de la prevederile contractuale,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situaţii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care se dovedesc neconforme cu realitatea sau lucrări de proastă calitate;</w:t>
      </w:r>
    </w:p>
    <w:p w14:paraId="65683E8D" w14:textId="77777777" w:rsidR="00DB4161" w:rsidRPr="00163665" w:rsidRDefault="00DB4161" w:rsidP="00163665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63665">
        <w:rPr>
          <w:rFonts w:ascii="Times New Roman" w:hAnsi="Times New Roman" w:cs="Times New Roman"/>
          <w:szCs w:val="24"/>
          <w:lang w:val="ro-RO"/>
        </w:rPr>
        <w:t xml:space="preserve">calculează cota de 0,1% și 0,5% din valoarea lucrărilor de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investiţii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datorată I.S.C. şi înaintează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situaţia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cu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plăţile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ce trebuie efectuate către Direcția economică, în vederea achitării acestora.</w:t>
      </w:r>
    </w:p>
    <w:p w14:paraId="267907E4" w14:textId="77777777" w:rsidR="00DB4161" w:rsidRPr="001D0DA6" w:rsidRDefault="00DB4161" w:rsidP="00163665">
      <w:pPr>
        <w:spacing w:line="276" w:lineRule="auto"/>
        <w:rPr>
          <w:rFonts w:ascii="Times New Roman" w:hAnsi="Times New Roman" w:cs="Times New Roman"/>
          <w:b/>
          <w:szCs w:val="24"/>
          <w:lang w:val="ro-RO"/>
        </w:rPr>
      </w:pPr>
    </w:p>
    <w:p w14:paraId="2F121FFF" w14:textId="65A1C108" w:rsidR="00DB4161" w:rsidRPr="00163665" w:rsidRDefault="001D0DA6" w:rsidP="00163665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Cs w:val="24"/>
          <w:lang w:val="ro-RO"/>
        </w:rPr>
      </w:pP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ve</w:t>
      </w:r>
      <w:bookmarkStart w:id="3" w:name="_Hlk528498287"/>
      <w:bookmarkEnd w:id="2"/>
      <w:proofErr w:type="spellEnd"/>
    </w:p>
    <w:p w14:paraId="50D55A41" w14:textId="4FB82B56" w:rsidR="001D0DA6" w:rsidRPr="001D0DA6" w:rsidRDefault="001D0DA6" w:rsidP="00163665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Cs w:val="24"/>
          <w:lang w:val="ro-RO"/>
        </w:rPr>
      </w:pPr>
      <w:r w:rsidRPr="001D0DA6">
        <w:rPr>
          <w:rFonts w:ascii="Times New Roman" w:hAnsi="Times New Roman" w:cs="Times New Roman"/>
          <w:b/>
          <w:szCs w:val="24"/>
          <w:lang w:val="ro-RO"/>
        </w:rPr>
        <w:t>f) alte a</w:t>
      </w:r>
      <w:r w:rsidR="00DB4161" w:rsidRPr="00163665">
        <w:rPr>
          <w:rFonts w:ascii="Times New Roman" w:hAnsi="Times New Roman" w:cs="Times New Roman"/>
          <w:b/>
          <w:szCs w:val="24"/>
          <w:lang w:val="ro-RO"/>
        </w:rPr>
        <w:t xml:space="preserve">                       </w:t>
      </w:r>
      <w:proofErr w:type="spellStart"/>
      <w:r w:rsidR="00DB4161" w:rsidRPr="00163665">
        <w:rPr>
          <w:rFonts w:ascii="Times New Roman" w:hAnsi="Times New Roman" w:cs="Times New Roman"/>
          <w:b/>
          <w:szCs w:val="24"/>
          <w:lang w:val="ro-RO"/>
        </w:rPr>
        <w:t>A</w:t>
      </w:r>
      <w:r w:rsidRPr="001D0DA6">
        <w:rPr>
          <w:rFonts w:ascii="Times New Roman" w:hAnsi="Times New Roman" w:cs="Times New Roman"/>
          <w:b/>
          <w:szCs w:val="24"/>
          <w:lang w:val="ro-RO"/>
        </w:rPr>
        <w:t>tribuţii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, 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competenţe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 şi </w:t>
      </w:r>
      <w:proofErr w:type="spellStart"/>
      <w:r w:rsidRPr="001D0DA6">
        <w:rPr>
          <w:rFonts w:ascii="Times New Roman" w:hAnsi="Times New Roman" w:cs="Times New Roman"/>
          <w:b/>
          <w:szCs w:val="24"/>
          <w:lang w:val="ro-RO"/>
        </w:rPr>
        <w:t>responsabilităţi</w:t>
      </w:r>
      <w:proofErr w:type="spellEnd"/>
      <w:r w:rsidRPr="001D0DA6">
        <w:rPr>
          <w:rFonts w:ascii="Times New Roman" w:hAnsi="Times New Roman" w:cs="Times New Roman"/>
          <w:b/>
          <w:szCs w:val="24"/>
          <w:lang w:val="ro-RO"/>
        </w:rPr>
        <w:t xml:space="preserve"> specifice:</w:t>
      </w:r>
    </w:p>
    <w:p w14:paraId="23F4402A" w14:textId="77777777" w:rsidR="001D0DA6" w:rsidRPr="001D0DA6" w:rsidRDefault="001D0DA6" w:rsidP="00163665">
      <w:pPr>
        <w:numPr>
          <w:ilvl w:val="0"/>
          <w:numId w:val="7"/>
        </w:numPr>
        <w:tabs>
          <w:tab w:val="num" w:pos="-72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>răspunde/rezolvă solicitările/sesizările cetățenilor/operatorilor economici (pentru sfera sa de activitate) și răspunde de transmiterea răspunsurilor în termen legal, asigurând întocmirea punctului de vedere al compartimentului;</w:t>
      </w:r>
    </w:p>
    <w:p w14:paraId="6C4E48D9" w14:textId="3E6AD0E4" w:rsidR="001D0DA6" w:rsidRPr="00163665" w:rsidRDefault="001D0DA6" w:rsidP="00163665">
      <w:pPr>
        <w:numPr>
          <w:ilvl w:val="0"/>
          <w:numId w:val="7"/>
        </w:numPr>
        <w:tabs>
          <w:tab w:val="num" w:pos="-72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>răspunde sub toate aspectele de actele pe care le întocmește și semnează;</w:t>
      </w:r>
    </w:p>
    <w:p w14:paraId="53E5F7CE" w14:textId="0FCFD13E" w:rsidR="00DB4161" w:rsidRPr="00163665" w:rsidRDefault="00DB4161" w:rsidP="00163665">
      <w:pPr>
        <w:numPr>
          <w:ilvl w:val="0"/>
          <w:numId w:val="7"/>
        </w:numPr>
        <w:tabs>
          <w:tab w:val="num" w:pos="-72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63665">
        <w:rPr>
          <w:rFonts w:ascii="Times New Roman" w:hAnsi="Times New Roman" w:cs="Times New Roman"/>
          <w:szCs w:val="24"/>
          <w:lang w:val="ro-RO"/>
        </w:rPr>
        <w:t xml:space="preserve">în calitate de gestionar,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urmăreste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, verifică și </w:t>
      </w:r>
      <w:proofErr w:type="spellStart"/>
      <w:r w:rsidRPr="00163665">
        <w:rPr>
          <w:rFonts w:ascii="Times New Roman" w:hAnsi="Times New Roman" w:cs="Times New Roman"/>
          <w:szCs w:val="24"/>
          <w:lang w:val="ro-RO"/>
        </w:rPr>
        <w:t>raspunde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 xml:space="preserve"> de bunurile transmise in gestiune</w:t>
      </w:r>
      <w:r w:rsidRPr="00163665">
        <w:rPr>
          <w:rFonts w:ascii="Times New Roman" w:hAnsi="Times New Roman" w:cs="Times New Roman"/>
          <w:szCs w:val="24"/>
        </w:rPr>
        <w:t>;</w:t>
      </w:r>
    </w:p>
    <w:p w14:paraId="329AE0A9" w14:textId="61454AF7" w:rsidR="00DB4161" w:rsidRPr="00163665" w:rsidRDefault="00DB4161" w:rsidP="00163665">
      <w:pPr>
        <w:numPr>
          <w:ilvl w:val="0"/>
          <w:numId w:val="7"/>
        </w:numPr>
        <w:tabs>
          <w:tab w:val="num" w:pos="-72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proofErr w:type="spellStart"/>
      <w:r w:rsidRPr="00163665">
        <w:rPr>
          <w:rFonts w:ascii="Times New Roman" w:hAnsi="Times New Roman" w:cs="Times New Roman"/>
          <w:szCs w:val="24"/>
        </w:rPr>
        <w:t>atribu</w:t>
      </w:r>
      <w:proofErr w:type="spellEnd"/>
      <w:r w:rsidRPr="00163665">
        <w:rPr>
          <w:rFonts w:ascii="Times New Roman" w:hAnsi="Times New Roman" w:cs="Times New Roman"/>
          <w:szCs w:val="24"/>
          <w:lang w:val="ro-RO"/>
        </w:rPr>
        <w:t>ții specifice controlului intern managerial</w:t>
      </w:r>
      <w:r w:rsidRPr="00163665">
        <w:rPr>
          <w:rFonts w:ascii="Times New Roman" w:hAnsi="Times New Roman" w:cs="Times New Roman"/>
          <w:szCs w:val="24"/>
        </w:rPr>
        <w:t>;</w:t>
      </w:r>
    </w:p>
    <w:p w14:paraId="124D9283" w14:textId="77777777" w:rsidR="001D0DA6" w:rsidRPr="001D0DA6" w:rsidRDefault="001D0DA6" w:rsidP="00163665">
      <w:pPr>
        <w:numPr>
          <w:ilvl w:val="0"/>
          <w:numId w:val="7"/>
        </w:numPr>
        <w:tabs>
          <w:tab w:val="num" w:pos="-72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>răspunde față de Curtea de Conturi și alte instituții abilitate să verifice de documentațiile întocmite și transmise spre aprobare primarului sau Consiliului local;</w:t>
      </w:r>
    </w:p>
    <w:p w14:paraId="44FA71CC" w14:textId="77777777" w:rsidR="001D0DA6" w:rsidRPr="001D0DA6" w:rsidRDefault="001D0DA6" w:rsidP="00163665">
      <w:pPr>
        <w:numPr>
          <w:ilvl w:val="0"/>
          <w:numId w:val="7"/>
        </w:numPr>
        <w:tabs>
          <w:tab w:val="num" w:pos="-72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>răspunde direct pentru modul în care respectă Regulamentul de organizare și funcționare, Regulamentul intern, normele de protecție și securitate a muncii, normele PSI;</w:t>
      </w:r>
    </w:p>
    <w:p w14:paraId="56EC8084" w14:textId="77777777" w:rsidR="001D0DA6" w:rsidRPr="001D0DA6" w:rsidRDefault="001D0DA6" w:rsidP="00163665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>răspunde de confidențialitatea datelor la care are acces, în afara celor cu caracter public</w:t>
      </w:r>
    </w:p>
    <w:p w14:paraId="4A0B26E3" w14:textId="77777777" w:rsidR="001D0DA6" w:rsidRPr="001D0DA6" w:rsidRDefault="001D0DA6" w:rsidP="00163665">
      <w:pPr>
        <w:numPr>
          <w:ilvl w:val="0"/>
          <w:numId w:val="7"/>
        </w:numPr>
        <w:tabs>
          <w:tab w:val="num" w:pos="-72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>asigură arhivarea documentelor compartimentului;</w:t>
      </w:r>
    </w:p>
    <w:p w14:paraId="28DFB1A0" w14:textId="77777777" w:rsidR="001D0DA6" w:rsidRPr="001D0DA6" w:rsidRDefault="001D0DA6" w:rsidP="00163665">
      <w:pPr>
        <w:numPr>
          <w:ilvl w:val="0"/>
          <w:numId w:val="7"/>
        </w:numPr>
        <w:tabs>
          <w:tab w:val="num" w:pos="-72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>întocmește rapoarte statistice (din sfera de activitate), cu respectarea termenelor legale stabilite;</w:t>
      </w:r>
    </w:p>
    <w:p w14:paraId="28AE14D4" w14:textId="77777777" w:rsidR="001D0DA6" w:rsidRPr="001D0DA6" w:rsidRDefault="001D0DA6" w:rsidP="00163665">
      <w:pPr>
        <w:numPr>
          <w:ilvl w:val="0"/>
          <w:numId w:val="7"/>
        </w:numPr>
        <w:tabs>
          <w:tab w:val="num" w:pos="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 xml:space="preserve">răspunde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cunoaşterea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legislaţiei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specifice domeniului său de activitate şi asigură aplicarea unitară 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legislaţiei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în vigoare, urmărind totodată modificările legislative care survin;</w:t>
      </w:r>
    </w:p>
    <w:p w14:paraId="3961CA5B" w14:textId="77777777" w:rsidR="001D0DA6" w:rsidRPr="001D0DA6" w:rsidRDefault="001D0DA6" w:rsidP="00163665">
      <w:pPr>
        <w:numPr>
          <w:ilvl w:val="0"/>
          <w:numId w:val="7"/>
        </w:numPr>
        <w:tabs>
          <w:tab w:val="num" w:pos="-72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r w:rsidRPr="001D0DA6">
        <w:rPr>
          <w:rFonts w:ascii="Times New Roman" w:hAnsi="Times New Roman" w:cs="Times New Roman"/>
          <w:szCs w:val="24"/>
          <w:lang w:val="ro-RO"/>
        </w:rPr>
        <w:t>duce la îndeplinire măsurile precizate în procesele verbale ale organelor de îndrumare și control;</w:t>
      </w:r>
    </w:p>
    <w:p w14:paraId="779CC784" w14:textId="77777777" w:rsidR="001D0DA6" w:rsidRPr="001D0DA6" w:rsidRDefault="001D0DA6" w:rsidP="00163665">
      <w:pPr>
        <w:numPr>
          <w:ilvl w:val="0"/>
          <w:numId w:val="7"/>
        </w:numPr>
        <w:tabs>
          <w:tab w:val="num" w:pos="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îndeplineşte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îndatoririle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funcţionarului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public prevăzute de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legislaţia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în vigoare;</w:t>
      </w:r>
    </w:p>
    <w:p w14:paraId="549F1793" w14:textId="77777777" w:rsidR="001D0DA6" w:rsidRPr="001D0DA6" w:rsidRDefault="001D0DA6" w:rsidP="00163665">
      <w:pPr>
        <w:numPr>
          <w:ilvl w:val="0"/>
          <w:numId w:val="7"/>
        </w:numPr>
        <w:tabs>
          <w:tab w:val="num" w:pos="0"/>
        </w:tabs>
        <w:spacing w:line="276" w:lineRule="auto"/>
        <w:rPr>
          <w:rFonts w:ascii="Times New Roman" w:hAnsi="Times New Roman" w:cs="Times New Roman"/>
          <w:szCs w:val="24"/>
          <w:lang w:val="ro-RO"/>
        </w:rPr>
      </w:pP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îndeplineşte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şi alte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atribuţii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stabilite prin lege, hotărâri ale consiliului local sau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dispoziţii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ale primarului, ori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încredinţate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de conducere, în limita </w:t>
      </w:r>
      <w:proofErr w:type="spellStart"/>
      <w:r w:rsidRPr="001D0DA6">
        <w:rPr>
          <w:rFonts w:ascii="Times New Roman" w:hAnsi="Times New Roman" w:cs="Times New Roman"/>
          <w:szCs w:val="24"/>
          <w:lang w:val="ro-RO"/>
        </w:rPr>
        <w:t>competenţei</w:t>
      </w:r>
      <w:proofErr w:type="spellEnd"/>
      <w:r w:rsidRPr="001D0DA6">
        <w:rPr>
          <w:rFonts w:ascii="Times New Roman" w:hAnsi="Times New Roman" w:cs="Times New Roman"/>
          <w:szCs w:val="24"/>
          <w:lang w:val="ro-RO"/>
        </w:rPr>
        <w:t xml:space="preserve"> profesionale.</w:t>
      </w:r>
    </w:p>
    <w:bookmarkEnd w:id="3"/>
    <w:p w14:paraId="76584FB8" w14:textId="77777777" w:rsidR="001D0DA6" w:rsidRPr="001D0DA6" w:rsidRDefault="001D0DA6" w:rsidP="00163665">
      <w:pPr>
        <w:spacing w:line="276" w:lineRule="auto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34F74692" w14:textId="77777777" w:rsidR="001D0DA6" w:rsidRPr="001D0DA6" w:rsidRDefault="001D0DA6" w:rsidP="00163665">
      <w:pPr>
        <w:spacing w:line="276" w:lineRule="auto"/>
        <w:rPr>
          <w:rFonts w:ascii="Times New Roman" w:hAnsi="Times New Roman" w:cs="Times New Roman"/>
          <w:b/>
          <w:bCs/>
          <w:szCs w:val="24"/>
          <w:lang w:val="ro-RO"/>
        </w:rPr>
      </w:pPr>
    </w:p>
    <w:sectPr w:rsidR="001D0DA6" w:rsidRPr="001D0DA6" w:rsidSect="00BD3CE4">
      <w:footerReference w:type="default" r:id="rId7"/>
      <w:pgSz w:w="11906" w:h="16838"/>
      <w:pgMar w:top="720" w:right="720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3616" w14:textId="77777777" w:rsidR="00387C27" w:rsidRDefault="00387C27" w:rsidP="00664632">
      <w:r>
        <w:separator/>
      </w:r>
    </w:p>
  </w:endnote>
  <w:endnote w:type="continuationSeparator" w:id="0">
    <w:p w14:paraId="4D75DBBD" w14:textId="77777777" w:rsidR="00387C27" w:rsidRDefault="00387C27" w:rsidP="0066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213898"/>
      <w:docPartObj>
        <w:docPartGallery w:val="Page Numbers (Bottom of Page)"/>
        <w:docPartUnique/>
      </w:docPartObj>
    </w:sdtPr>
    <w:sdtEndPr/>
    <w:sdtContent>
      <w:p w14:paraId="6C159BD6" w14:textId="5B666A18" w:rsidR="00664632" w:rsidRDefault="0066463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4632">
          <w:rPr>
            <w:noProof/>
            <w:lang w:val="ro-RO"/>
          </w:rPr>
          <w:t>2</w:t>
        </w:r>
        <w:r>
          <w:fldChar w:fldCharType="end"/>
        </w:r>
      </w:p>
    </w:sdtContent>
  </w:sdt>
  <w:p w14:paraId="0A8BEB72" w14:textId="77777777" w:rsidR="00664632" w:rsidRDefault="0066463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22ED" w14:textId="77777777" w:rsidR="00387C27" w:rsidRDefault="00387C27" w:rsidP="00664632">
      <w:r>
        <w:separator/>
      </w:r>
    </w:p>
  </w:footnote>
  <w:footnote w:type="continuationSeparator" w:id="0">
    <w:p w14:paraId="56F0567B" w14:textId="77777777" w:rsidR="00387C27" w:rsidRDefault="00387C27" w:rsidP="0066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ro-RO"/>
      </w:rPr>
    </w:lvl>
  </w:abstractNum>
  <w:abstractNum w:abstractNumId="1" w15:restartNumberingAfterBreak="0">
    <w:nsid w:val="183A1108"/>
    <w:multiLevelType w:val="hybridMultilevel"/>
    <w:tmpl w:val="38AA2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B7190"/>
    <w:multiLevelType w:val="hybridMultilevel"/>
    <w:tmpl w:val="DE32A2FA"/>
    <w:lvl w:ilvl="0" w:tplc="52ACEA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0F05"/>
    <w:multiLevelType w:val="hybridMultilevel"/>
    <w:tmpl w:val="D2628E78"/>
    <w:lvl w:ilvl="0" w:tplc="08FA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45F7"/>
    <w:multiLevelType w:val="hybridMultilevel"/>
    <w:tmpl w:val="BFE065C0"/>
    <w:lvl w:ilvl="0" w:tplc="52ACEA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7AF5"/>
    <w:multiLevelType w:val="multilevel"/>
    <w:tmpl w:val="D8F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463A71"/>
    <w:multiLevelType w:val="hybridMultilevel"/>
    <w:tmpl w:val="B8E820BC"/>
    <w:lvl w:ilvl="0" w:tplc="9C3C38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0739C"/>
    <w:multiLevelType w:val="hybridMultilevel"/>
    <w:tmpl w:val="FF54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15CEC"/>
    <w:multiLevelType w:val="multilevel"/>
    <w:tmpl w:val="29B681A8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4E4F5B"/>
    <w:multiLevelType w:val="hybridMultilevel"/>
    <w:tmpl w:val="240A1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540479"/>
    <w:multiLevelType w:val="multilevel"/>
    <w:tmpl w:val="6A9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C6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13C7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63665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0DA6"/>
    <w:rsid w:val="001D1C17"/>
    <w:rsid w:val="001D673B"/>
    <w:rsid w:val="001D747C"/>
    <w:rsid w:val="001E1E8F"/>
    <w:rsid w:val="001F369C"/>
    <w:rsid w:val="001F597F"/>
    <w:rsid w:val="001F6B83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87C27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770AE"/>
    <w:rsid w:val="0048284B"/>
    <w:rsid w:val="00483055"/>
    <w:rsid w:val="00486D59"/>
    <w:rsid w:val="004A18A2"/>
    <w:rsid w:val="004A4B5A"/>
    <w:rsid w:val="004B0D11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64632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00B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25BC6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3CE4"/>
    <w:rsid w:val="00BE294C"/>
    <w:rsid w:val="00BF4599"/>
    <w:rsid w:val="00C10C7E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17E5"/>
    <w:rsid w:val="00D24737"/>
    <w:rsid w:val="00D57BC7"/>
    <w:rsid w:val="00D632D5"/>
    <w:rsid w:val="00D730B7"/>
    <w:rsid w:val="00D730C5"/>
    <w:rsid w:val="00D8271C"/>
    <w:rsid w:val="00D848FA"/>
    <w:rsid w:val="00D95415"/>
    <w:rsid w:val="00DB1732"/>
    <w:rsid w:val="00DB4161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D4E6F"/>
    <w:rsid w:val="00EE03B6"/>
    <w:rsid w:val="00EE6068"/>
    <w:rsid w:val="00EF73A9"/>
    <w:rsid w:val="00F0361C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7584"/>
  <w15:chartTrackingRefBased/>
  <w15:docId w15:val="{60EF79C9-C69E-486E-BBE2-BAA699A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32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Indentcorptext21">
    <w:name w:val="Indent corp text 21"/>
    <w:basedOn w:val="Normal"/>
    <w:rsid w:val="00664632"/>
    <w:pPr>
      <w:ind w:left="720" w:firstLine="0"/>
    </w:pPr>
    <w:rPr>
      <w:rFonts w:ascii="Times New Roman" w:hAnsi="Times New Roman" w:cs="Times New Roman"/>
      <w:sz w:val="20"/>
      <w:szCs w:val="28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63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63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ntet">
    <w:name w:val="header"/>
    <w:basedOn w:val="Normal"/>
    <w:link w:val="AntetCaracter"/>
    <w:uiPriority w:val="99"/>
    <w:unhideWhenUsed/>
    <w:rsid w:val="0066463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64632"/>
    <w:rPr>
      <w:rFonts w:ascii="Arial" w:eastAsia="Times New Roman" w:hAnsi="Arial" w:cs="Arial"/>
      <w:sz w:val="24"/>
      <w:szCs w:val="20"/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66463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64632"/>
    <w:rPr>
      <w:rFonts w:ascii="Arial" w:eastAsia="Times New Roman" w:hAnsi="Arial" w:cs="Arial"/>
      <w:sz w:val="24"/>
      <w:szCs w:val="20"/>
      <w:lang w:val="en-US" w:eastAsia="ar-SA"/>
    </w:rPr>
  </w:style>
  <w:style w:type="paragraph" w:styleId="Listparagraf">
    <w:name w:val="List Paragraph"/>
    <w:basedOn w:val="Normal"/>
    <w:uiPriority w:val="34"/>
    <w:qFormat/>
    <w:rsid w:val="00BD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Nicoleta.Poschin</cp:lastModifiedBy>
  <cp:revision>2</cp:revision>
  <cp:lastPrinted>2019-11-15T15:10:00Z</cp:lastPrinted>
  <dcterms:created xsi:type="dcterms:W3CDTF">2019-11-18T13:42:00Z</dcterms:created>
  <dcterms:modified xsi:type="dcterms:W3CDTF">2019-11-18T13:42:00Z</dcterms:modified>
</cp:coreProperties>
</file>