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3DED" w:rsidRPr="00D64201" w:rsidRDefault="00143DED" w:rsidP="00143DED">
      <w:pPr>
        <w:pStyle w:val="Frspaiere"/>
        <w:jc w:val="center"/>
        <w:rPr>
          <w:rFonts w:ascii="Times New Roman" w:hAnsi="Times New Roman"/>
          <w:b/>
          <w:sz w:val="24"/>
          <w:szCs w:val="24"/>
        </w:rPr>
      </w:pPr>
      <w:r w:rsidRPr="00D64201">
        <w:rPr>
          <w:rFonts w:ascii="Times New Roman" w:hAnsi="Times New Roman"/>
          <w:b/>
          <w:sz w:val="24"/>
          <w:szCs w:val="24"/>
        </w:rPr>
        <w:t>ROMÂNIA</w:t>
      </w:r>
    </w:p>
    <w:p w:rsidR="00143DED" w:rsidRPr="00D64201" w:rsidRDefault="00143DED" w:rsidP="00143DED">
      <w:pPr>
        <w:pStyle w:val="Frspaiere"/>
        <w:jc w:val="center"/>
        <w:rPr>
          <w:rFonts w:ascii="Times New Roman" w:hAnsi="Times New Roman"/>
          <w:b/>
          <w:sz w:val="24"/>
          <w:szCs w:val="24"/>
        </w:rPr>
      </w:pPr>
      <w:r w:rsidRPr="00D64201">
        <w:rPr>
          <w:rFonts w:ascii="Times New Roman" w:hAnsi="Times New Roman"/>
          <w:b/>
          <w:sz w:val="24"/>
          <w:szCs w:val="24"/>
        </w:rPr>
        <w:t>JUDEŢUL SUCEAVA</w:t>
      </w:r>
    </w:p>
    <w:p w:rsidR="00143DED" w:rsidRPr="00D64201" w:rsidRDefault="00143DED" w:rsidP="00143DED">
      <w:pPr>
        <w:pStyle w:val="Frspaiere"/>
        <w:jc w:val="center"/>
        <w:rPr>
          <w:rFonts w:ascii="Times New Roman" w:hAnsi="Times New Roman"/>
          <w:b/>
          <w:sz w:val="24"/>
          <w:szCs w:val="24"/>
        </w:rPr>
      </w:pPr>
      <w:r w:rsidRPr="00D64201">
        <w:rPr>
          <w:rFonts w:ascii="Times New Roman" w:hAnsi="Times New Roman"/>
          <w:b/>
          <w:sz w:val="24"/>
          <w:szCs w:val="24"/>
        </w:rPr>
        <w:t>PRIMÃRIA MUNICIPIULUI CÂMPULUNG MOLDOVENESC</w:t>
      </w:r>
    </w:p>
    <w:p w:rsidR="00143DED" w:rsidRPr="00D64201" w:rsidRDefault="00FF0DE6" w:rsidP="00143DED">
      <w:pPr>
        <w:pStyle w:val="Frspaiere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PRIMAR</w:t>
      </w:r>
    </w:p>
    <w:p w:rsidR="00067C99" w:rsidRDefault="00067C99" w:rsidP="00143DED">
      <w:pPr>
        <w:ind w:right="2051"/>
        <w:rPr>
          <w:rFonts w:ascii="Times New Roman" w:hAnsi="Times New Roman"/>
          <w:sz w:val="24"/>
          <w:szCs w:val="24"/>
        </w:rPr>
      </w:pPr>
    </w:p>
    <w:p w:rsidR="008D29DA" w:rsidRPr="00D64201" w:rsidRDefault="008D29DA" w:rsidP="00143DED">
      <w:pPr>
        <w:ind w:right="2051"/>
        <w:rPr>
          <w:rFonts w:ascii="Times New Roman" w:hAnsi="Times New Roman"/>
          <w:sz w:val="24"/>
          <w:szCs w:val="24"/>
        </w:rPr>
      </w:pPr>
    </w:p>
    <w:p w:rsidR="00143DED" w:rsidRDefault="006A0A4D" w:rsidP="006A0A4D">
      <w:pPr>
        <w:pStyle w:val="Frspaier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REFERAT DE APROBARE</w:t>
      </w:r>
    </w:p>
    <w:p w:rsidR="0000444D" w:rsidRDefault="0000444D" w:rsidP="006A0A4D">
      <w:pPr>
        <w:pStyle w:val="Frspaiere"/>
        <w:jc w:val="center"/>
        <w:rPr>
          <w:rFonts w:ascii="Times New Roman" w:hAnsi="Times New Roman"/>
          <w:bCs/>
          <w:sz w:val="24"/>
          <w:szCs w:val="24"/>
        </w:rPr>
      </w:pPr>
    </w:p>
    <w:p w:rsidR="003069DC" w:rsidRPr="006A0A4D" w:rsidRDefault="003069DC" w:rsidP="006A0A4D">
      <w:pPr>
        <w:pStyle w:val="Frspaiere"/>
        <w:jc w:val="center"/>
        <w:rPr>
          <w:rFonts w:ascii="Times New Roman" w:hAnsi="Times New Roman"/>
          <w:bCs/>
          <w:sz w:val="24"/>
          <w:szCs w:val="24"/>
        </w:rPr>
      </w:pPr>
      <w:r w:rsidRPr="006A0A4D">
        <w:rPr>
          <w:rFonts w:ascii="Times New Roman" w:hAnsi="Times New Roman"/>
          <w:bCs/>
          <w:sz w:val="24"/>
          <w:szCs w:val="24"/>
        </w:rPr>
        <w:t>la proiectul de hotărâre</w:t>
      </w:r>
    </w:p>
    <w:p w:rsidR="001E4577" w:rsidRPr="009670E0" w:rsidRDefault="00363CD3" w:rsidP="00255E32">
      <w:pPr>
        <w:pStyle w:val="Frspaiere"/>
        <w:ind w:firstLine="630"/>
        <w:jc w:val="both"/>
        <w:rPr>
          <w:rFonts w:ascii="Times New Roman" w:hAnsi="Times New Roman"/>
          <w:sz w:val="24"/>
          <w:szCs w:val="24"/>
        </w:rPr>
      </w:pPr>
      <w:bookmarkStart w:id="0" w:name="_Hlk108186266"/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privind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acordarea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mandatului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special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reprezentantului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municipiului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Câmpulung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Moldovenesc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,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județul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Suceava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în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Adunarea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Generală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a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Asociației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Județene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pentru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Apă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și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Canalizare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Suceava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să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voteze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și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să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aprobe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în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Adunarea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Generală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a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Asociației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, 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Strategia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pentru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perioada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2025-2029,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prevăzută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în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Anexa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nr.1, formula de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ajustare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prevăzută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în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Anexa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nr.2,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și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Actul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adițional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nr.10 la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Contractul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de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delegare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 a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gestiunii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serviciilor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publice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de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alimentare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cu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apă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și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de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canalizare,încheiat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de AJAC Suceava cu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Societatea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ACET S.A. Suceava, conform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Anexei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nr.3,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și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mandatarea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președintelui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AJAC Suceava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să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semneze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Actul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Adițional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nr.10 la 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Contractul</w:t>
      </w:r>
      <w:proofErr w:type="spellEnd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de </w:t>
      </w:r>
      <w:proofErr w:type="spellStart"/>
      <w:r w:rsidRPr="00363CD3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delegare</w:t>
      </w:r>
      <w:proofErr w:type="spellEnd"/>
    </w:p>
    <w:bookmarkEnd w:id="0"/>
    <w:p w:rsidR="003069DC" w:rsidRDefault="003069DC" w:rsidP="00CB28C4">
      <w:pPr>
        <w:widowControl w:val="0"/>
        <w:rPr>
          <w:rFonts w:ascii="Times New Roman" w:hAnsi="Times New Roman"/>
          <w:sz w:val="24"/>
          <w:szCs w:val="24"/>
        </w:rPr>
      </w:pPr>
    </w:p>
    <w:p w:rsidR="00363CD3" w:rsidRDefault="00363CD3" w:rsidP="00CB28C4">
      <w:pPr>
        <w:widowControl w:val="0"/>
        <w:rPr>
          <w:rFonts w:ascii="Times New Roman" w:hAnsi="Times New Roman"/>
          <w:sz w:val="24"/>
          <w:szCs w:val="24"/>
        </w:rPr>
      </w:pPr>
    </w:p>
    <w:p w:rsidR="00067C99" w:rsidRDefault="00820B7B" w:rsidP="00051B2F">
      <w:pPr>
        <w:widowControl w:val="0"/>
        <w:tabs>
          <w:tab w:val="left" w:pos="1005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solicitarea Asociației Județene pentru Apă și Canalizare Suceava am inițiat acest proiect.</w:t>
      </w:r>
    </w:p>
    <w:p w:rsidR="00820B7B" w:rsidRDefault="00820B7B" w:rsidP="00051B2F">
      <w:pPr>
        <w:widowControl w:val="0"/>
        <w:tabs>
          <w:tab w:val="left" w:pos="1005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Municipiul Câmpulung Moldovenesc are calitatea de membru al Asociației Județene pentru Apă și Canalizare Suceava, iar Consiliul local aprobă întocmirea și semnarea de contracte, acte adiționale,</w:t>
      </w:r>
      <w:r w:rsidR="008627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</w:t>
      </w:r>
      <w:r w:rsidR="0086271E">
        <w:rPr>
          <w:rFonts w:ascii="Times New Roman" w:hAnsi="Times New Roman"/>
          <w:sz w:val="24"/>
          <w:szCs w:val="24"/>
        </w:rPr>
        <w:t>dificări și completări ale Actului Constitutiv și a Statutului Asociației Județene pentru Apă și Canalizare Suceava.</w:t>
      </w:r>
    </w:p>
    <w:p w:rsidR="0086271E" w:rsidRDefault="006C657D" w:rsidP="0016465B">
      <w:pPr>
        <w:pStyle w:val="Frspaiere"/>
        <w:ind w:firstLine="567"/>
        <w:jc w:val="both"/>
        <w:rPr>
          <w:rFonts w:ascii="Times New Roman" w:hAnsi="Times New Roman"/>
          <w:sz w:val="24"/>
          <w:szCs w:val="24"/>
        </w:rPr>
      </w:pPr>
      <w:r w:rsidRPr="00404BDF">
        <w:rPr>
          <w:rFonts w:ascii="Times New Roman" w:hAnsi="Times New Roman"/>
          <w:sz w:val="24"/>
          <w:szCs w:val="24"/>
        </w:rPr>
        <w:t xml:space="preserve">Prin adresa cu nr. </w:t>
      </w:r>
      <w:r w:rsidR="00363CD3">
        <w:rPr>
          <w:rFonts w:ascii="Times New Roman" w:hAnsi="Times New Roman"/>
          <w:sz w:val="24"/>
          <w:szCs w:val="24"/>
        </w:rPr>
        <w:t>125</w:t>
      </w:r>
      <w:r w:rsidRPr="00404BDF">
        <w:rPr>
          <w:rFonts w:ascii="Times New Roman" w:hAnsi="Times New Roman"/>
          <w:sz w:val="24"/>
          <w:szCs w:val="24"/>
        </w:rPr>
        <w:t xml:space="preserve"> din </w:t>
      </w:r>
      <w:r w:rsidR="00363CD3">
        <w:rPr>
          <w:rFonts w:ascii="Times New Roman" w:hAnsi="Times New Roman"/>
          <w:sz w:val="24"/>
          <w:szCs w:val="24"/>
        </w:rPr>
        <w:t>03.03.2025</w:t>
      </w:r>
      <w:r w:rsidRPr="00404BDF">
        <w:rPr>
          <w:rFonts w:ascii="Times New Roman" w:hAnsi="Times New Roman"/>
          <w:sz w:val="24"/>
          <w:szCs w:val="24"/>
        </w:rPr>
        <w:t xml:space="preserve">, înregistrată în cadrul Primăriei municipiului Câmpulung Moldovenesc la nr. </w:t>
      </w:r>
      <w:r w:rsidR="00363CD3">
        <w:rPr>
          <w:rFonts w:ascii="Times New Roman" w:hAnsi="Times New Roman"/>
          <w:sz w:val="24"/>
          <w:szCs w:val="24"/>
        </w:rPr>
        <w:t>7.024</w:t>
      </w:r>
      <w:r w:rsidRPr="00404BDF">
        <w:rPr>
          <w:rFonts w:ascii="Times New Roman" w:hAnsi="Times New Roman"/>
          <w:sz w:val="24"/>
          <w:szCs w:val="24"/>
        </w:rPr>
        <w:t xml:space="preserve"> din </w:t>
      </w:r>
      <w:r w:rsidR="00363CD3">
        <w:rPr>
          <w:rFonts w:ascii="Times New Roman" w:hAnsi="Times New Roman"/>
          <w:sz w:val="24"/>
          <w:szCs w:val="24"/>
        </w:rPr>
        <w:t>05.03.2025</w:t>
      </w:r>
      <w:r w:rsidR="009A7B49" w:rsidRPr="00404BDF">
        <w:rPr>
          <w:rFonts w:ascii="Times New Roman" w:hAnsi="Times New Roman"/>
          <w:sz w:val="24"/>
          <w:szCs w:val="24"/>
        </w:rPr>
        <w:t>,</w:t>
      </w:r>
      <w:r w:rsidRPr="00404BDF">
        <w:rPr>
          <w:rFonts w:ascii="Times New Roman" w:hAnsi="Times New Roman"/>
          <w:sz w:val="24"/>
          <w:szCs w:val="24"/>
        </w:rPr>
        <w:t xml:space="preserve"> Asociația Județeană pentru Apă și Canalizare Suceava solicită</w:t>
      </w:r>
      <w:r w:rsidR="00C631E2" w:rsidRPr="00404BDF">
        <w:rPr>
          <w:rFonts w:ascii="Times New Roman" w:hAnsi="Times New Roman"/>
          <w:sz w:val="24"/>
          <w:szCs w:val="24"/>
        </w:rPr>
        <w:t xml:space="preserve"> adoptarea unei hotărâri a Consiliului local</w:t>
      </w:r>
      <w:r w:rsidR="009A7B49" w:rsidRPr="00404BDF">
        <w:rPr>
          <w:rFonts w:ascii="Times New Roman" w:hAnsi="Times New Roman"/>
          <w:sz w:val="24"/>
          <w:szCs w:val="24"/>
        </w:rPr>
        <w:t xml:space="preserve">, motivată </w:t>
      </w:r>
      <w:r w:rsidR="0016465B">
        <w:rPr>
          <w:rFonts w:ascii="Times New Roman" w:hAnsi="Times New Roman"/>
          <w:sz w:val="24"/>
          <w:szCs w:val="24"/>
        </w:rPr>
        <w:t>prin adresa operatorului regional ACET S.A. Suceava nr. 4098 din 11.02.2025</w:t>
      </w:r>
      <w:r w:rsidR="00C80EA2" w:rsidRPr="00404BDF">
        <w:rPr>
          <w:rFonts w:ascii="Times New Roman" w:hAnsi="Times New Roman"/>
          <w:sz w:val="24"/>
          <w:szCs w:val="24"/>
        </w:rPr>
        <w:t>.</w:t>
      </w:r>
      <w:r w:rsidR="0016465B">
        <w:rPr>
          <w:rFonts w:ascii="Times New Roman" w:hAnsi="Times New Roman"/>
          <w:sz w:val="24"/>
          <w:szCs w:val="24"/>
        </w:rPr>
        <w:t xml:space="preserve"> Având în vedere cele menționate în adresa nr. 4098 din 11.02.2025, ACET S.A. a procedat la elaborarea Planului de afaceri, prin care se implementează Strategia de tarifare pentru perioada de reglementare 2025-2029, în corelație cu rezultatele Analizei Cost- Beneficiu actualizate, anexă la Contractul de Finanțare nr. 6/ 26.04.2024.</w:t>
      </w:r>
    </w:p>
    <w:p w:rsidR="007B6684" w:rsidRDefault="007B6684" w:rsidP="0016465B">
      <w:pPr>
        <w:pStyle w:val="Frspaiere"/>
        <w:ind w:firstLine="567"/>
        <w:jc w:val="both"/>
        <w:rPr>
          <w:rFonts w:ascii="Times New Roman" w:hAnsi="Times New Roman"/>
          <w:sz w:val="24"/>
          <w:szCs w:val="24"/>
        </w:rPr>
      </w:pPr>
      <w:r w:rsidRPr="007B6684">
        <w:rPr>
          <w:rFonts w:ascii="Times New Roman" w:hAnsi="Times New Roman"/>
          <w:sz w:val="24"/>
          <w:szCs w:val="24"/>
        </w:rPr>
        <w:t xml:space="preserve">Strategia de tarifare pentru perioada 2025 – 2029, inclusă în Planul de afaceri, aferentă perioadei de implementare a Proiectului regional </w:t>
      </w:r>
      <w:r w:rsidRPr="007B6684">
        <w:rPr>
          <w:rFonts w:ascii="Times New Roman" w:hAnsi="Times New Roman"/>
          <w:i/>
          <w:sz w:val="24"/>
          <w:szCs w:val="24"/>
        </w:rPr>
        <w:t xml:space="preserve">”Dezvoltarea infrastructurii de apă și apă uzată din județul Suceava în perioada 2014 – 2020 -etapa II” </w:t>
      </w:r>
      <w:r w:rsidRPr="007B6684">
        <w:rPr>
          <w:rFonts w:ascii="Times New Roman" w:hAnsi="Times New Roman"/>
          <w:sz w:val="24"/>
          <w:szCs w:val="24"/>
        </w:rPr>
        <w:t xml:space="preserve">pentru care s-a încheiat Contractul de </w:t>
      </w:r>
      <w:proofErr w:type="spellStart"/>
      <w:r w:rsidRPr="007B6684">
        <w:rPr>
          <w:rFonts w:ascii="Times New Roman" w:hAnsi="Times New Roman"/>
          <w:sz w:val="24"/>
          <w:szCs w:val="24"/>
        </w:rPr>
        <w:t>Finanţare</w:t>
      </w:r>
      <w:proofErr w:type="spellEnd"/>
      <w:r w:rsidRPr="007B6684">
        <w:rPr>
          <w:rFonts w:ascii="Times New Roman" w:hAnsi="Times New Roman"/>
          <w:sz w:val="24"/>
          <w:szCs w:val="24"/>
        </w:rPr>
        <w:t xml:space="preserve"> </w:t>
      </w:r>
      <w:r w:rsidRPr="007B6684">
        <w:rPr>
          <w:rFonts w:ascii="Times New Roman" w:hAnsi="Times New Roman"/>
          <w:i/>
          <w:sz w:val="24"/>
          <w:szCs w:val="24"/>
        </w:rPr>
        <w:t xml:space="preserve">nr.6/26.04.2024, </w:t>
      </w:r>
      <w:r w:rsidRPr="007B6684">
        <w:rPr>
          <w:rFonts w:ascii="Times New Roman" w:hAnsi="Times New Roman"/>
          <w:iCs/>
          <w:sz w:val="24"/>
          <w:szCs w:val="24"/>
        </w:rPr>
        <w:t>presupune ajustări tarifare ale prețurilor și tarifelor în fiecare an începând cu data de 1 ianuarie, atât în termeni reali, cât și cu inflația</w:t>
      </w:r>
      <w:r>
        <w:rPr>
          <w:rFonts w:ascii="Times New Roman" w:hAnsi="Times New Roman"/>
          <w:iCs/>
          <w:sz w:val="24"/>
          <w:szCs w:val="24"/>
        </w:rPr>
        <w:t xml:space="preserve"> înregistrată de la data ultimei majorări până la cel </w:t>
      </w:r>
      <w:r w:rsidR="0000444D">
        <w:rPr>
          <w:rFonts w:ascii="Times New Roman" w:hAnsi="Times New Roman"/>
          <w:iCs/>
          <w:sz w:val="24"/>
          <w:szCs w:val="24"/>
        </w:rPr>
        <w:t>mai recent IPC comunicat de Institutul Național de Statistică ( IPC- Total ).</w:t>
      </w:r>
    </w:p>
    <w:p w:rsidR="00404BDF" w:rsidRDefault="0016465B" w:rsidP="0000444D">
      <w:pPr>
        <w:pStyle w:val="Frspaiere"/>
        <w:ind w:firstLine="567"/>
        <w:jc w:val="both"/>
        <w:rPr>
          <w:rFonts w:ascii="Times New Roman" w:hAnsi="Times New Roman"/>
          <w:sz w:val="24"/>
          <w:szCs w:val="24"/>
          <w:lang w:bidi="ro-RO"/>
        </w:rPr>
      </w:pPr>
      <w:r w:rsidRPr="0016465B">
        <w:rPr>
          <w:rFonts w:ascii="Times New Roman" w:hAnsi="Times New Roman"/>
          <w:sz w:val="24"/>
          <w:szCs w:val="24"/>
          <w:lang w:bidi="ro-RO"/>
        </w:rPr>
        <w:t>Ajustările în termeni reali ale</w:t>
      </w:r>
      <w:r w:rsidRPr="0016465B">
        <w:rPr>
          <w:rFonts w:ascii="Times New Roman" w:hAnsi="Times New Roman"/>
          <w:b/>
          <w:bCs/>
          <w:sz w:val="24"/>
          <w:szCs w:val="24"/>
          <w:lang w:bidi="ro-RO"/>
        </w:rPr>
        <w:t xml:space="preserve"> </w:t>
      </w:r>
      <w:r w:rsidRPr="0016465B">
        <w:rPr>
          <w:rFonts w:ascii="Times New Roman" w:hAnsi="Times New Roman"/>
          <w:sz w:val="24"/>
          <w:szCs w:val="24"/>
          <w:lang w:bidi="ro-RO"/>
        </w:rPr>
        <w:t xml:space="preserve"> prețurilor/tarifelor pentru perioada 2025- 2029 au scopul de a asigura un nivel de recuperare al costurilor legate de asigurarea serviciilor de apă și apă uzată, precum și viabilitatea financiară a operării serviciului. De asemenea ajustările tarifare au fost proiectate ținând cont de planul de implementare atât a investițiilor în derulare, cât și a celor care urmează a fi realizate prin Proiectul  „Dezvoltarea infrastructurii de apă și apă uzată în județul Suceava în perioada 2014 -2020 -  Etapa II”.</w:t>
      </w:r>
    </w:p>
    <w:p w:rsidR="0000444D" w:rsidRPr="0000444D" w:rsidRDefault="0000444D" w:rsidP="0000444D">
      <w:pPr>
        <w:pStyle w:val="Frspaiere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o-RO"/>
        </w:rPr>
      </w:pPr>
    </w:p>
    <w:p w:rsidR="0000444D" w:rsidRDefault="00C631E2" w:rsidP="0000444D">
      <w:pPr>
        <w:widowControl w:val="0"/>
        <w:tabs>
          <w:tab w:val="left" w:pos="1005"/>
        </w:tabs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Cu argumentele prezentate, supun aprobării dumneavoastră acest proiect de hotărâre.</w:t>
      </w:r>
    </w:p>
    <w:p w:rsidR="0000444D" w:rsidRPr="0000444D" w:rsidRDefault="0000444D" w:rsidP="0000444D">
      <w:pPr>
        <w:widowControl w:val="0"/>
        <w:tabs>
          <w:tab w:val="left" w:pos="1005"/>
        </w:tabs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AD4FBC" w:rsidRPr="00404BDF" w:rsidRDefault="00C631E2" w:rsidP="00404BDF">
      <w:pPr>
        <w:pStyle w:val="Titlu"/>
        <w:ind w:right="3544" w:firstLine="2977"/>
        <w:rPr>
          <w:sz w:val="24"/>
          <w:szCs w:val="22"/>
        </w:rPr>
      </w:pPr>
      <w:r w:rsidRPr="00404BDF">
        <w:rPr>
          <w:sz w:val="24"/>
          <w:szCs w:val="22"/>
        </w:rPr>
        <w:t>Primar,</w:t>
      </w:r>
    </w:p>
    <w:p w:rsidR="00C631E2" w:rsidRPr="00404BDF" w:rsidRDefault="0000444D" w:rsidP="00404BDF">
      <w:pPr>
        <w:pStyle w:val="Titlu"/>
        <w:ind w:right="3544" w:firstLine="2977"/>
        <w:rPr>
          <w:sz w:val="24"/>
          <w:szCs w:val="22"/>
        </w:rPr>
      </w:pPr>
      <w:r>
        <w:rPr>
          <w:sz w:val="24"/>
          <w:szCs w:val="22"/>
        </w:rPr>
        <w:t xml:space="preserve">    </w:t>
      </w:r>
      <w:proofErr w:type="spellStart"/>
      <w:r w:rsidR="00C631E2" w:rsidRPr="00404BDF">
        <w:rPr>
          <w:sz w:val="24"/>
          <w:szCs w:val="22"/>
        </w:rPr>
        <w:t>Negură</w:t>
      </w:r>
      <w:proofErr w:type="spellEnd"/>
      <w:r w:rsidR="00C631E2" w:rsidRPr="00404BDF">
        <w:rPr>
          <w:sz w:val="24"/>
          <w:szCs w:val="22"/>
        </w:rPr>
        <w:t xml:space="preserve"> Mihăiță</w:t>
      </w:r>
    </w:p>
    <w:sectPr w:rsidR="00C631E2" w:rsidRPr="00404BDF" w:rsidSect="008D29DA"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lu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lu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E37358"/>
    <w:multiLevelType w:val="hybridMultilevel"/>
    <w:tmpl w:val="B6CE7AAE"/>
    <w:lvl w:ilvl="0" w:tplc="51DE33D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8959DA"/>
    <w:multiLevelType w:val="hybridMultilevel"/>
    <w:tmpl w:val="627C887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703D9A"/>
    <w:multiLevelType w:val="hybridMultilevel"/>
    <w:tmpl w:val="EEAA7A0E"/>
    <w:lvl w:ilvl="0" w:tplc="5F2CA2BC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FE7050"/>
    <w:multiLevelType w:val="hybridMultilevel"/>
    <w:tmpl w:val="90F45162"/>
    <w:lvl w:ilvl="0" w:tplc="4F84FC4C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FB10070"/>
    <w:multiLevelType w:val="hybridMultilevel"/>
    <w:tmpl w:val="C24A03EE"/>
    <w:lvl w:ilvl="0" w:tplc="FEBAE312">
      <w:start w:val="1"/>
      <w:numFmt w:val="bullet"/>
      <w:lvlText w:val="-"/>
      <w:lvlJc w:val="left"/>
      <w:pPr>
        <w:ind w:left="9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548E2515"/>
    <w:multiLevelType w:val="hybridMultilevel"/>
    <w:tmpl w:val="9C6C89A0"/>
    <w:lvl w:ilvl="0" w:tplc="5F2CA2B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60FAA"/>
    <w:multiLevelType w:val="hybridMultilevel"/>
    <w:tmpl w:val="504A83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4258D1"/>
    <w:multiLevelType w:val="hybridMultilevel"/>
    <w:tmpl w:val="0CF0CC5E"/>
    <w:lvl w:ilvl="0" w:tplc="D59681E8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24608D"/>
    <w:multiLevelType w:val="hybridMultilevel"/>
    <w:tmpl w:val="8E469F8E"/>
    <w:lvl w:ilvl="0" w:tplc="6BCE5966">
      <w:start w:val="5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230156">
    <w:abstractNumId w:val="0"/>
  </w:num>
  <w:num w:numId="2" w16cid:durableId="1820688304">
    <w:abstractNumId w:val="2"/>
  </w:num>
  <w:num w:numId="3" w16cid:durableId="1608804565">
    <w:abstractNumId w:val="9"/>
  </w:num>
  <w:num w:numId="4" w16cid:durableId="74787912">
    <w:abstractNumId w:val="4"/>
  </w:num>
  <w:num w:numId="5" w16cid:durableId="168178276">
    <w:abstractNumId w:val="1"/>
  </w:num>
  <w:num w:numId="6" w16cid:durableId="1985349661">
    <w:abstractNumId w:val="3"/>
  </w:num>
  <w:num w:numId="7" w16cid:durableId="1824731507">
    <w:abstractNumId w:val="6"/>
  </w:num>
  <w:num w:numId="8" w16cid:durableId="1020428151">
    <w:abstractNumId w:val="5"/>
  </w:num>
  <w:num w:numId="9" w16cid:durableId="1449276448">
    <w:abstractNumId w:val="8"/>
  </w:num>
  <w:num w:numId="10" w16cid:durableId="17417116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BB"/>
    <w:rsid w:val="0000444D"/>
    <w:rsid w:val="00020F4E"/>
    <w:rsid w:val="00051B2F"/>
    <w:rsid w:val="00067C99"/>
    <w:rsid w:val="00092A6F"/>
    <w:rsid w:val="001255A7"/>
    <w:rsid w:val="00143DED"/>
    <w:rsid w:val="0015000C"/>
    <w:rsid w:val="0016465B"/>
    <w:rsid w:val="00172C75"/>
    <w:rsid w:val="00195C29"/>
    <w:rsid w:val="0019648D"/>
    <w:rsid w:val="001E4577"/>
    <w:rsid w:val="00255E32"/>
    <w:rsid w:val="00287F2B"/>
    <w:rsid w:val="002B0501"/>
    <w:rsid w:val="002D4E65"/>
    <w:rsid w:val="003069DC"/>
    <w:rsid w:val="00310FAE"/>
    <w:rsid w:val="00311630"/>
    <w:rsid w:val="00363CD3"/>
    <w:rsid w:val="003653F2"/>
    <w:rsid w:val="00367A15"/>
    <w:rsid w:val="003C3282"/>
    <w:rsid w:val="00402416"/>
    <w:rsid w:val="00404BDF"/>
    <w:rsid w:val="00473A16"/>
    <w:rsid w:val="004D1463"/>
    <w:rsid w:val="005007B1"/>
    <w:rsid w:val="00504FDC"/>
    <w:rsid w:val="00537B71"/>
    <w:rsid w:val="0054374C"/>
    <w:rsid w:val="00561719"/>
    <w:rsid w:val="00583771"/>
    <w:rsid w:val="005D6C2A"/>
    <w:rsid w:val="005D7AF5"/>
    <w:rsid w:val="0061091B"/>
    <w:rsid w:val="00614838"/>
    <w:rsid w:val="006A0A4D"/>
    <w:rsid w:val="006C657D"/>
    <w:rsid w:val="00753505"/>
    <w:rsid w:val="00766E1B"/>
    <w:rsid w:val="00785DB0"/>
    <w:rsid w:val="00786B90"/>
    <w:rsid w:val="007A3485"/>
    <w:rsid w:val="007B6684"/>
    <w:rsid w:val="00820B7B"/>
    <w:rsid w:val="00844447"/>
    <w:rsid w:val="0086271E"/>
    <w:rsid w:val="008C4583"/>
    <w:rsid w:val="008D29DA"/>
    <w:rsid w:val="008E490C"/>
    <w:rsid w:val="0092218A"/>
    <w:rsid w:val="009670E0"/>
    <w:rsid w:val="00987872"/>
    <w:rsid w:val="009A7B49"/>
    <w:rsid w:val="00A5579D"/>
    <w:rsid w:val="00A64D65"/>
    <w:rsid w:val="00AB0129"/>
    <w:rsid w:val="00AB2C74"/>
    <w:rsid w:val="00AC35DC"/>
    <w:rsid w:val="00AD4FBC"/>
    <w:rsid w:val="00AE3717"/>
    <w:rsid w:val="00B10E8C"/>
    <w:rsid w:val="00B54662"/>
    <w:rsid w:val="00B55F07"/>
    <w:rsid w:val="00B643DB"/>
    <w:rsid w:val="00B64729"/>
    <w:rsid w:val="00B753D7"/>
    <w:rsid w:val="00B94600"/>
    <w:rsid w:val="00BC5AF7"/>
    <w:rsid w:val="00C3709F"/>
    <w:rsid w:val="00C631E2"/>
    <w:rsid w:val="00C80EA2"/>
    <w:rsid w:val="00CB28C4"/>
    <w:rsid w:val="00CF7F43"/>
    <w:rsid w:val="00D35192"/>
    <w:rsid w:val="00D50258"/>
    <w:rsid w:val="00D64201"/>
    <w:rsid w:val="00D965A0"/>
    <w:rsid w:val="00DB2D5F"/>
    <w:rsid w:val="00DC5389"/>
    <w:rsid w:val="00E366DF"/>
    <w:rsid w:val="00E431BB"/>
    <w:rsid w:val="00E458A2"/>
    <w:rsid w:val="00E61A97"/>
    <w:rsid w:val="00E91D3C"/>
    <w:rsid w:val="00E95451"/>
    <w:rsid w:val="00F269AD"/>
    <w:rsid w:val="00FC7606"/>
    <w:rsid w:val="00FF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C3643"/>
  <w15:chartTrackingRefBased/>
  <w15:docId w15:val="{237B2549-0F3E-4023-A536-F58A9FCD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C99"/>
    <w:pPr>
      <w:spacing w:after="200" w:line="276" w:lineRule="auto"/>
    </w:pPr>
    <w:rPr>
      <w:sz w:val="22"/>
      <w:szCs w:val="22"/>
      <w:lang w:eastAsia="en-US"/>
    </w:rPr>
  </w:style>
  <w:style w:type="paragraph" w:styleId="Titlu3">
    <w:name w:val="heading 3"/>
    <w:basedOn w:val="Normal"/>
    <w:next w:val="Normal"/>
    <w:link w:val="Titlu3Caracter"/>
    <w:qFormat/>
    <w:rsid w:val="00143DED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Arial Unicode MS" w:hAnsi="Times New Roman"/>
      <w:b/>
      <w:bCs/>
      <w:sz w:val="32"/>
      <w:szCs w:val="24"/>
      <w:lang w:val="en-US" w:eastAsia="ar-SA"/>
    </w:rPr>
  </w:style>
  <w:style w:type="paragraph" w:styleId="Titlu4">
    <w:name w:val="heading 4"/>
    <w:basedOn w:val="Normal"/>
    <w:next w:val="Normal"/>
    <w:link w:val="Titlu4Caracter"/>
    <w:qFormat/>
    <w:rsid w:val="00143DED"/>
    <w:pPr>
      <w:keepNext/>
      <w:numPr>
        <w:ilvl w:val="3"/>
        <w:numId w:val="1"/>
      </w:numPr>
      <w:suppressAutoHyphens/>
      <w:spacing w:after="0" w:line="240" w:lineRule="auto"/>
      <w:ind w:left="0" w:right="5831" w:firstLine="0"/>
      <w:jc w:val="center"/>
      <w:outlineLvl w:val="3"/>
    </w:pPr>
    <w:rPr>
      <w:rFonts w:ascii="Times New Roman" w:eastAsia="Arial Unicode MS" w:hAnsi="Times New Roman"/>
      <w:b/>
      <w:bCs/>
      <w:sz w:val="28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al1">
    <w:name w:val="tal1"/>
    <w:rsid w:val="00E431BB"/>
    <w:rPr>
      <w:bdr w:val="none" w:sz="0" w:space="0" w:color="auto"/>
    </w:rPr>
  </w:style>
  <w:style w:type="character" w:customStyle="1" w:styleId="tli1">
    <w:name w:val="tli1"/>
    <w:rsid w:val="00E431BB"/>
  </w:style>
  <w:style w:type="character" w:customStyle="1" w:styleId="tpt1">
    <w:name w:val="tpt1"/>
    <w:rsid w:val="00E431BB"/>
  </w:style>
  <w:style w:type="character" w:customStyle="1" w:styleId="Titlu3Caracter">
    <w:name w:val="Titlu 3 Caracter"/>
    <w:link w:val="Titlu3"/>
    <w:rsid w:val="00143DED"/>
    <w:rPr>
      <w:rFonts w:ascii="Times New Roman" w:eastAsia="Arial Unicode MS" w:hAnsi="Times New Roman"/>
      <w:b/>
      <w:bCs/>
      <w:sz w:val="32"/>
      <w:szCs w:val="24"/>
      <w:lang w:eastAsia="ar-SA"/>
    </w:rPr>
  </w:style>
  <w:style w:type="character" w:customStyle="1" w:styleId="Titlu4Caracter">
    <w:name w:val="Titlu 4 Caracter"/>
    <w:link w:val="Titlu4"/>
    <w:rsid w:val="00143DED"/>
    <w:rPr>
      <w:rFonts w:ascii="Times New Roman" w:eastAsia="Arial Unicode MS" w:hAnsi="Times New Roman"/>
      <w:b/>
      <w:bCs/>
      <w:sz w:val="28"/>
      <w:szCs w:val="24"/>
      <w:lang w:eastAsia="ar-SA"/>
    </w:rPr>
  </w:style>
  <w:style w:type="paragraph" w:styleId="Titlu">
    <w:name w:val="Title"/>
    <w:basedOn w:val="Normal"/>
    <w:next w:val="Subtitlu"/>
    <w:link w:val="TitluCaracter"/>
    <w:qFormat/>
    <w:rsid w:val="00143DED"/>
    <w:pPr>
      <w:suppressAutoHyphens/>
      <w:spacing w:after="0" w:line="240" w:lineRule="auto"/>
      <w:ind w:right="5651"/>
      <w:jc w:val="center"/>
    </w:pPr>
    <w:rPr>
      <w:rFonts w:ascii="Times New Roman" w:eastAsia="Times New Roman" w:hAnsi="Times New Roman"/>
      <w:b/>
      <w:bCs/>
      <w:sz w:val="28"/>
      <w:szCs w:val="24"/>
      <w:lang w:val="en-US" w:eastAsia="ar-SA"/>
    </w:rPr>
  </w:style>
  <w:style w:type="character" w:customStyle="1" w:styleId="TitluCaracter">
    <w:name w:val="Titlu Caracter"/>
    <w:link w:val="Titlu"/>
    <w:rsid w:val="00143DED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43DE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uCaracter">
    <w:name w:val="Subtitlu Caracter"/>
    <w:link w:val="Subtitlu"/>
    <w:uiPriority w:val="11"/>
    <w:rsid w:val="00143DED"/>
    <w:rPr>
      <w:rFonts w:ascii="Calibri Light" w:eastAsia="Times New Roman" w:hAnsi="Calibri Light" w:cs="Times New Roman"/>
      <w:sz w:val="24"/>
      <w:szCs w:val="24"/>
      <w:lang w:val="ro-RO"/>
    </w:rPr>
  </w:style>
  <w:style w:type="paragraph" w:styleId="Frspaiere">
    <w:name w:val="No Spacing"/>
    <w:uiPriority w:val="1"/>
    <w:qFormat/>
    <w:rsid w:val="00143DED"/>
    <w:rPr>
      <w:sz w:val="22"/>
      <w:szCs w:val="22"/>
      <w:lang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96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19648D"/>
    <w:rPr>
      <w:rFonts w:ascii="Segoe UI" w:hAnsi="Segoe UI" w:cs="Segoe UI"/>
      <w:sz w:val="18"/>
      <w:szCs w:val="18"/>
      <w:lang w:val="ro-RO"/>
    </w:rPr>
  </w:style>
  <w:style w:type="character" w:customStyle="1" w:styleId="CharChar2">
    <w:name w:val="Char Char2"/>
    <w:rsid w:val="00E458A2"/>
    <w:rPr>
      <w:b/>
      <w:bCs/>
      <w:caps/>
      <w:sz w:val="28"/>
      <w:szCs w:val="24"/>
      <w:lang w:val="ro-RO" w:eastAsia="ar-SA" w:bidi="ar-SA"/>
    </w:rPr>
  </w:style>
  <w:style w:type="paragraph" w:styleId="Listparagraf">
    <w:name w:val="List Paragraph"/>
    <w:basedOn w:val="Normal"/>
    <w:uiPriority w:val="34"/>
    <w:qFormat/>
    <w:rsid w:val="00B55F07"/>
    <w:pPr>
      <w:widowControl w:val="0"/>
      <w:spacing w:after="0" w:line="360" w:lineRule="auto"/>
      <w:ind w:left="720" w:firstLine="720"/>
      <w:contextualSpacing/>
      <w:jc w:val="both"/>
    </w:pPr>
    <w:rPr>
      <w:rFonts w:ascii="Arial" w:eastAsia="Times New Roman" w:hAnsi="Arial"/>
      <w:sz w:val="24"/>
      <w:szCs w:val="24"/>
    </w:rPr>
  </w:style>
  <w:style w:type="character" w:customStyle="1" w:styleId="tca1">
    <w:name w:val="tca1"/>
    <w:rsid w:val="00473A16"/>
    <w:rPr>
      <w:b/>
      <w:bCs/>
      <w:sz w:val="24"/>
      <w:szCs w:val="24"/>
    </w:rPr>
  </w:style>
  <w:style w:type="paragraph" w:styleId="Legend">
    <w:name w:val="caption"/>
    <w:basedOn w:val="Normal"/>
    <w:qFormat/>
    <w:rsid w:val="001E457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Default">
    <w:name w:val="Default"/>
    <w:rsid w:val="001E45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gril">
    <w:name w:val="Table Grid"/>
    <w:basedOn w:val="TabelNormal"/>
    <w:uiPriority w:val="59"/>
    <w:rsid w:val="00067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453</Words>
  <Characters>2632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Șalvari Florin</dc:creator>
  <cp:keywords/>
  <cp:lastModifiedBy>Florin.Salvari</cp:lastModifiedBy>
  <cp:revision>3</cp:revision>
  <cp:lastPrinted>2022-07-11T06:15:00Z</cp:lastPrinted>
  <dcterms:created xsi:type="dcterms:W3CDTF">2025-03-07T08:27:00Z</dcterms:created>
  <dcterms:modified xsi:type="dcterms:W3CDTF">2025-03-07T12:22:00Z</dcterms:modified>
</cp:coreProperties>
</file>